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2EB" w:rsidRPr="00F152EB" w:rsidRDefault="00F152EB" w:rsidP="00FF400B">
      <w:pPr>
        <w:pStyle w:val="Sansinterligne"/>
      </w:pPr>
      <w:bookmarkStart w:id="0" w:name="_GoBack"/>
      <w:bookmarkEnd w:id="0"/>
      <w:r w:rsidRPr="00F152EB">
        <w:rPr>
          <w:rStyle w:val="lev"/>
          <w:color w:val="33CCCC"/>
          <w:sz w:val="28"/>
          <w:szCs w:val="28"/>
        </w:rPr>
        <w:t>*Séries et albums présentés dans l’exposition ‘La Bulle’ :</w:t>
      </w:r>
    </w:p>
    <w:p w:rsidR="00F152EB" w:rsidRPr="00F152EB" w:rsidRDefault="00F152EB" w:rsidP="00F152EB">
      <w:pPr>
        <w:pStyle w:val="NormalWeb"/>
        <w:numPr>
          <w:ilvl w:val="0"/>
          <w:numId w:val="1"/>
        </w:numPr>
        <w:rPr>
          <w:sz w:val="28"/>
          <w:szCs w:val="28"/>
        </w:rPr>
      </w:pPr>
      <w:r w:rsidRPr="00F152EB">
        <w:rPr>
          <w:rStyle w:val="lev"/>
          <w:sz w:val="28"/>
          <w:szCs w:val="28"/>
        </w:rPr>
        <w:t>Sélection adultes :</w:t>
      </w:r>
    </w:p>
    <w:p w:rsidR="00F152EB" w:rsidRPr="00F152EB" w:rsidRDefault="00F152EB" w:rsidP="00F152EB">
      <w:pPr>
        <w:pStyle w:val="NormalWeb"/>
        <w:numPr>
          <w:ilvl w:val="0"/>
          <w:numId w:val="1"/>
        </w:numPr>
        <w:rPr>
          <w:sz w:val="28"/>
          <w:szCs w:val="28"/>
        </w:rPr>
      </w:pPr>
      <w:r w:rsidRPr="00F152EB">
        <w:rPr>
          <w:sz w:val="28"/>
          <w:szCs w:val="28"/>
        </w:rPr>
        <w:t xml:space="preserve">- </w:t>
      </w:r>
      <w:r w:rsidRPr="00F152EB">
        <w:rPr>
          <w:rStyle w:val="Accentuation"/>
          <w:sz w:val="28"/>
          <w:szCs w:val="28"/>
        </w:rPr>
        <w:t>Carnets d’Orient</w:t>
      </w:r>
      <w:r w:rsidRPr="00F152EB">
        <w:rPr>
          <w:sz w:val="28"/>
          <w:szCs w:val="28"/>
        </w:rPr>
        <w:t>, Jacques Ferrandez (éd. Casterman)</w:t>
      </w:r>
      <w:r w:rsidRPr="00F152EB">
        <w:rPr>
          <w:sz w:val="28"/>
          <w:szCs w:val="28"/>
        </w:rPr>
        <w:br/>
        <w:t xml:space="preserve">- </w:t>
      </w:r>
      <w:r w:rsidRPr="00F152EB">
        <w:rPr>
          <w:rStyle w:val="Accentuation"/>
          <w:sz w:val="28"/>
          <w:szCs w:val="28"/>
        </w:rPr>
        <w:t>Portugal</w:t>
      </w:r>
      <w:r w:rsidRPr="00F152EB">
        <w:rPr>
          <w:sz w:val="28"/>
          <w:szCs w:val="28"/>
        </w:rPr>
        <w:t>, Cyril Pedrosa (éd. Dupuis)</w:t>
      </w:r>
      <w:r w:rsidRPr="00F152EB">
        <w:rPr>
          <w:sz w:val="28"/>
          <w:szCs w:val="28"/>
        </w:rPr>
        <w:br/>
        <w:t xml:space="preserve">- </w:t>
      </w:r>
      <w:r w:rsidRPr="00F152EB">
        <w:rPr>
          <w:rStyle w:val="Accentuation"/>
          <w:sz w:val="28"/>
          <w:szCs w:val="28"/>
        </w:rPr>
        <w:t>Lupus</w:t>
      </w:r>
      <w:r w:rsidRPr="00F152EB">
        <w:rPr>
          <w:sz w:val="28"/>
          <w:szCs w:val="28"/>
        </w:rPr>
        <w:t>, Frédérik Peeters (éd. Atrabile)</w:t>
      </w:r>
      <w:r w:rsidRPr="00F152EB">
        <w:rPr>
          <w:sz w:val="28"/>
          <w:szCs w:val="28"/>
        </w:rPr>
        <w:br/>
        <w:t xml:space="preserve">- </w:t>
      </w:r>
      <w:r w:rsidRPr="00F152EB">
        <w:rPr>
          <w:rStyle w:val="Accentuation"/>
          <w:sz w:val="28"/>
          <w:szCs w:val="28"/>
        </w:rPr>
        <w:t>Abdallahi</w:t>
      </w:r>
      <w:r w:rsidRPr="00F152EB">
        <w:rPr>
          <w:sz w:val="28"/>
          <w:szCs w:val="28"/>
        </w:rPr>
        <w:t>, Jean-Denis Pendanx et Christophe Dabitch (éd. Futuropolis)</w:t>
      </w:r>
      <w:r w:rsidRPr="00F152EB">
        <w:rPr>
          <w:sz w:val="28"/>
          <w:szCs w:val="28"/>
        </w:rPr>
        <w:br/>
        <w:t xml:space="preserve">- </w:t>
      </w:r>
      <w:r w:rsidRPr="00F152EB">
        <w:rPr>
          <w:rStyle w:val="Accentuation"/>
          <w:sz w:val="28"/>
          <w:szCs w:val="28"/>
        </w:rPr>
        <w:t>Balade Balade</w:t>
      </w:r>
      <w:r w:rsidRPr="00F152EB">
        <w:rPr>
          <w:sz w:val="28"/>
          <w:szCs w:val="28"/>
        </w:rPr>
        <w:t>, Kokor (éd. Vents d’Ouest)</w:t>
      </w:r>
      <w:r w:rsidRPr="00F152EB">
        <w:rPr>
          <w:sz w:val="28"/>
          <w:szCs w:val="28"/>
        </w:rPr>
        <w:br/>
        <w:t xml:space="preserve">- </w:t>
      </w:r>
      <w:r w:rsidRPr="00F152EB">
        <w:rPr>
          <w:rStyle w:val="Accentuation"/>
          <w:sz w:val="28"/>
          <w:szCs w:val="28"/>
        </w:rPr>
        <w:t>Les Cinq conteurs de Bagdad</w:t>
      </w:r>
      <w:r w:rsidRPr="00F152EB">
        <w:rPr>
          <w:sz w:val="28"/>
          <w:szCs w:val="28"/>
        </w:rPr>
        <w:t>, Fabien Vehlmann et Frantz Duchazeau (éd. Dargaud)</w:t>
      </w:r>
      <w:r w:rsidRPr="00F152EB">
        <w:rPr>
          <w:sz w:val="28"/>
          <w:szCs w:val="28"/>
        </w:rPr>
        <w:br/>
        <w:t xml:space="preserve">- </w:t>
      </w:r>
      <w:r w:rsidRPr="00F152EB">
        <w:rPr>
          <w:rStyle w:val="Accentuation"/>
          <w:sz w:val="28"/>
          <w:szCs w:val="28"/>
        </w:rPr>
        <w:t>Jonathan</w:t>
      </w:r>
      <w:r w:rsidRPr="00F152EB">
        <w:rPr>
          <w:sz w:val="28"/>
          <w:szCs w:val="28"/>
        </w:rPr>
        <w:t>, Cosey (éd. Le Lombard)</w:t>
      </w:r>
    </w:p>
    <w:p w:rsidR="00F152EB" w:rsidRPr="00F152EB" w:rsidRDefault="00F152EB" w:rsidP="00F152EB">
      <w:pPr>
        <w:pStyle w:val="NormalWeb"/>
        <w:numPr>
          <w:ilvl w:val="0"/>
          <w:numId w:val="1"/>
        </w:numPr>
        <w:rPr>
          <w:rStyle w:val="lev"/>
          <w:b w:val="0"/>
          <w:bCs w:val="0"/>
          <w:sz w:val="28"/>
          <w:szCs w:val="28"/>
        </w:rPr>
      </w:pPr>
      <w:r w:rsidRPr="00F152EB">
        <w:rPr>
          <w:rStyle w:val="lev"/>
          <w:sz w:val="28"/>
          <w:szCs w:val="28"/>
        </w:rPr>
        <w:t>Sélection jeunesse :</w:t>
      </w:r>
    </w:p>
    <w:p w:rsidR="00F152EB" w:rsidRPr="00F152EB" w:rsidRDefault="00F152EB" w:rsidP="00F152EB">
      <w:pPr>
        <w:pStyle w:val="NormalWeb"/>
        <w:numPr>
          <w:ilvl w:val="0"/>
          <w:numId w:val="1"/>
        </w:numPr>
        <w:rPr>
          <w:sz w:val="28"/>
          <w:szCs w:val="28"/>
        </w:rPr>
      </w:pPr>
      <w:r w:rsidRPr="00F152EB">
        <w:rPr>
          <w:sz w:val="28"/>
          <w:szCs w:val="28"/>
        </w:rPr>
        <w:t xml:space="preserve">- </w:t>
      </w:r>
      <w:r w:rsidRPr="00F152EB">
        <w:rPr>
          <w:rStyle w:val="Accentuation"/>
          <w:sz w:val="28"/>
          <w:szCs w:val="28"/>
        </w:rPr>
        <w:t>Les Chronokids</w:t>
      </w:r>
      <w:r w:rsidRPr="00F152EB">
        <w:rPr>
          <w:sz w:val="28"/>
          <w:szCs w:val="28"/>
        </w:rPr>
        <w:t>, Stan, Vince et Zep (éd. Glénat)</w:t>
      </w:r>
      <w:r w:rsidRPr="00F152EB">
        <w:rPr>
          <w:sz w:val="28"/>
          <w:szCs w:val="28"/>
        </w:rPr>
        <w:br/>
        <w:t>-</w:t>
      </w:r>
      <w:r w:rsidRPr="00F152EB">
        <w:rPr>
          <w:rStyle w:val="Accentuation"/>
          <w:sz w:val="28"/>
          <w:szCs w:val="28"/>
        </w:rPr>
        <w:t xml:space="preserve"> Ingmar</w:t>
      </w:r>
      <w:r w:rsidRPr="00F152EB">
        <w:rPr>
          <w:sz w:val="28"/>
          <w:szCs w:val="28"/>
        </w:rPr>
        <w:t>, Rudy Spiessert et Hervé Bourhis (éd. Dupuis)</w:t>
      </w:r>
      <w:r w:rsidRPr="00F152EB">
        <w:rPr>
          <w:sz w:val="28"/>
          <w:szCs w:val="28"/>
        </w:rPr>
        <w:br/>
        <w:t xml:space="preserve">- </w:t>
      </w:r>
      <w:r w:rsidRPr="00F152EB">
        <w:rPr>
          <w:rStyle w:val="Accentuation"/>
          <w:sz w:val="28"/>
          <w:szCs w:val="28"/>
        </w:rPr>
        <w:t>Amulet</w:t>
      </w:r>
      <w:r w:rsidRPr="00F152EB">
        <w:rPr>
          <w:sz w:val="28"/>
          <w:szCs w:val="28"/>
        </w:rPr>
        <w:t>, Kazu Kabuishi (éd. Akileos)</w:t>
      </w:r>
      <w:r w:rsidRPr="00F152EB">
        <w:rPr>
          <w:sz w:val="28"/>
          <w:szCs w:val="28"/>
        </w:rPr>
        <w:br/>
        <w:t xml:space="preserve">- </w:t>
      </w:r>
      <w:r w:rsidRPr="00F152EB">
        <w:rPr>
          <w:rStyle w:val="Accentuation"/>
          <w:sz w:val="28"/>
          <w:szCs w:val="28"/>
        </w:rPr>
        <w:t>Tokyo Home</w:t>
      </w:r>
      <w:r w:rsidRPr="00F152EB">
        <w:rPr>
          <w:sz w:val="28"/>
          <w:szCs w:val="28"/>
        </w:rPr>
        <w:t>, Cyrielle et Thierry Gloris (éd. Kana)</w:t>
      </w:r>
      <w:r w:rsidRPr="00F152EB">
        <w:rPr>
          <w:sz w:val="28"/>
          <w:szCs w:val="28"/>
        </w:rPr>
        <w:br/>
        <w:t xml:space="preserve">- </w:t>
      </w:r>
      <w:r w:rsidRPr="00F152EB">
        <w:rPr>
          <w:rStyle w:val="Accentuation"/>
          <w:sz w:val="28"/>
          <w:szCs w:val="28"/>
        </w:rPr>
        <w:t>Le Voyage d’Esteban</w:t>
      </w:r>
      <w:r w:rsidRPr="00F152EB">
        <w:rPr>
          <w:sz w:val="28"/>
          <w:szCs w:val="28"/>
        </w:rPr>
        <w:t>, Matthieu Bonhomme (éd. Dupuis)</w:t>
      </w:r>
      <w:r w:rsidRPr="00F152EB">
        <w:rPr>
          <w:sz w:val="28"/>
          <w:szCs w:val="28"/>
        </w:rPr>
        <w:br/>
        <w:t xml:space="preserve">- </w:t>
      </w:r>
      <w:r w:rsidRPr="00F152EB">
        <w:rPr>
          <w:rStyle w:val="Accentuation"/>
          <w:sz w:val="28"/>
          <w:szCs w:val="28"/>
        </w:rPr>
        <w:t>Les Enfants du capitaine Grant</w:t>
      </w:r>
      <w:r w:rsidRPr="00F152EB">
        <w:rPr>
          <w:sz w:val="28"/>
          <w:szCs w:val="28"/>
        </w:rPr>
        <w:t>, Alexis Nesme (éd. Delcourt)</w:t>
      </w:r>
      <w:r w:rsidRPr="00F152EB">
        <w:rPr>
          <w:sz w:val="28"/>
          <w:szCs w:val="28"/>
        </w:rPr>
        <w:br/>
        <w:t xml:space="preserve">- </w:t>
      </w:r>
      <w:r w:rsidRPr="00F152EB">
        <w:rPr>
          <w:rStyle w:val="Accentuation"/>
          <w:sz w:val="28"/>
          <w:szCs w:val="28"/>
        </w:rPr>
        <w:t>Théodore Poussin</w:t>
      </w:r>
      <w:r w:rsidRPr="00F152EB">
        <w:rPr>
          <w:sz w:val="28"/>
          <w:szCs w:val="28"/>
        </w:rPr>
        <w:t>, Frank Le Gall (éd. Dupuis)</w:t>
      </w:r>
      <w:r w:rsidRPr="00F152EB">
        <w:rPr>
          <w:sz w:val="28"/>
          <w:szCs w:val="28"/>
        </w:rPr>
        <w:br/>
        <w:t xml:space="preserve">- </w:t>
      </w:r>
      <w:r w:rsidRPr="00F152EB">
        <w:rPr>
          <w:rStyle w:val="Accentuation"/>
          <w:sz w:val="28"/>
          <w:szCs w:val="28"/>
        </w:rPr>
        <w:t>Violine</w:t>
      </w:r>
      <w:r w:rsidRPr="00F152EB">
        <w:rPr>
          <w:sz w:val="28"/>
          <w:szCs w:val="28"/>
        </w:rPr>
        <w:t>, Tronchet, Fabrice Tarrin et Jean-Marc Krings (éd. Dupuis).</w:t>
      </w:r>
    </w:p>
    <w:p w:rsidR="0009342D" w:rsidRPr="00F152EB" w:rsidRDefault="0009342D">
      <w:pPr>
        <w:rPr>
          <w:sz w:val="28"/>
          <w:szCs w:val="28"/>
        </w:rPr>
      </w:pPr>
    </w:p>
    <w:sectPr w:rsidR="0009342D" w:rsidRPr="00F152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A44632"/>
    <w:multiLevelType w:val="hybridMultilevel"/>
    <w:tmpl w:val="0664A9C4"/>
    <w:lvl w:ilvl="0" w:tplc="A3020D2E">
      <w:start w:val="2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2EB"/>
    <w:rsid w:val="0005712C"/>
    <w:rsid w:val="0009342D"/>
    <w:rsid w:val="00F152EB"/>
    <w:rsid w:val="00FF4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B2DB1B-1408-49DF-A1BD-D32FBE9F6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152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uiPriority w:val="22"/>
    <w:qFormat/>
    <w:rsid w:val="00F152EB"/>
    <w:rPr>
      <w:b/>
      <w:bCs/>
    </w:rPr>
  </w:style>
  <w:style w:type="character" w:styleId="Accentuation">
    <w:name w:val="Emphasis"/>
    <w:uiPriority w:val="20"/>
    <w:qFormat/>
    <w:rsid w:val="00F152EB"/>
    <w:rPr>
      <w:i/>
      <w:iCs/>
    </w:rPr>
  </w:style>
  <w:style w:type="paragraph" w:styleId="Sansinterligne">
    <w:name w:val="No Spacing"/>
    <w:uiPriority w:val="1"/>
    <w:qFormat/>
    <w:rsid w:val="00FF400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Province de Liège</Company>
  <LinksUpToDate>false</LinksUpToDate>
  <CharactersWithSpaces>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guy</dc:creator>
  <cp:lastModifiedBy>Thirion, Audrey</cp:lastModifiedBy>
  <cp:revision>2</cp:revision>
  <dcterms:created xsi:type="dcterms:W3CDTF">2018-10-23T08:20:00Z</dcterms:created>
  <dcterms:modified xsi:type="dcterms:W3CDTF">2018-10-23T08:20:00Z</dcterms:modified>
</cp:coreProperties>
</file>